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20320</wp:posOffset>
                </wp:positionV>
                <wp:extent cx="4177665" cy="546100"/>
                <wp:effectExtent l="4445" t="4445" r="889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Book II Unit 5 Music</w:t>
                            </w:r>
                          </w:p>
                          <w:p>
                            <w:pPr>
                              <w:spacing w:afterLines="10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</w:rPr>
                              <w:t>Speaking &amp; Writing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default" w:ascii="Times New Roman" w:hAnsi="Times New Roman" w:eastAsia="方正大黑简体" w:cs="Times New Roman"/>
                                <w:b/>
                                <w:i/>
                                <w:i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3.4pt;margin-top:1.6pt;height:43pt;width:328.95pt;z-index:251658240;mso-width-relative:page;mso-height-relative:page;" fillcolor="#FFFFFF" filled="t" stroked="t" coordsize="21600,21600" o:gfxdata="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c++PXAAAACAEAAA8AAAAAAAAAAQAgAAAAIgAAAGRycy9kb3ducmV2LnhtbFBLAQIUABQA&#10;AAAIAIdO4kAutjef8QEAAOgDAAAOAAAAAAAAAAEAIAAAACYBAABkcnMvZTJvRG9jLnhtbFBLBQYA&#10;AAAABgAGAFkBAACJ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Book II Unit 5 Music</w:t>
                      </w:r>
                    </w:p>
                    <w:p>
                      <w:pPr>
                        <w:spacing w:afterLines="100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</w:rPr>
                        <w:t>Speaking &amp; Writing</w:t>
                      </w:r>
                    </w:p>
                    <w:p>
                      <w:pPr>
                        <w:adjustRightInd w:val="0"/>
                        <w:snapToGrid w:val="0"/>
                        <w:jc w:val="center"/>
                        <w:rPr>
                          <w:rFonts w:hint="default" w:ascii="Times New Roman" w:hAnsi="Times New Roman" w:eastAsia="方正大黑简体" w:cs="Times New Roman"/>
                          <w:b/>
                          <w:i/>
                          <w:iCs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line="360" w:lineRule="auto"/>
        <w:rPr>
          <w:rFonts w:hint="eastAsia"/>
          <w:sz w:val="24"/>
          <w:szCs w:val="24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——教学片段品析</w:t>
      </w:r>
    </w:p>
    <w:p>
      <w:pPr>
        <w:adjustRightInd w:val="0"/>
        <w:snapToGrid w:val="0"/>
        <w:spacing w:line="360" w:lineRule="auto"/>
        <w:jc w:val="center"/>
        <w:rPr>
          <w:rFonts w:hint="eastAsia" w:ascii="楷体_GB2312" w:hAnsi="宋体" w:eastAsia="楷体_GB2312"/>
          <w:b/>
          <w:sz w:val="24"/>
          <w:szCs w:val="24"/>
        </w:rPr>
      </w:pPr>
      <w:r>
        <w:rPr>
          <w:rFonts w:hint="eastAsia" w:ascii="楷体_GB2312" w:hAnsi="宋体" w:eastAsia="楷体_GB2312"/>
          <w:b/>
          <w:sz w:val="24"/>
          <w:szCs w:val="24"/>
        </w:rPr>
        <w:t>课题组名：双流区蒋建平工作室</w:t>
      </w:r>
    </w:p>
    <w:p>
      <w:pPr>
        <w:adjustRightInd w:val="0"/>
        <w:snapToGrid w:val="0"/>
        <w:spacing w:line="360" w:lineRule="auto"/>
        <w:jc w:val="center"/>
        <w:rPr>
          <w:rFonts w:hint="eastAsia" w:ascii="楷体_GB2312" w:hAnsi="宋体" w:eastAsia="楷体_GB2312"/>
          <w:b/>
          <w:sz w:val="24"/>
          <w:szCs w:val="24"/>
        </w:rPr>
      </w:pPr>
    </w:p>
    <w:p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执教者：</w:t>
      </w:r>
      <w:r>
        <w:rPr>
          <w:rFonts w:hint="eastAsia" w:ascii="宋体" w:hAnsi="宋体"/>
          <w:b/>
          <w:sz w:val="24"/>
          <w:szCs w:val="24"/>
          <w:lang w:eastAsia="zh-CN"/>
        </w:rPr>
        <w:t>张燕君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学  校：双流中学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年  级：高一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时  间：201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7.4.27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篇目介绍：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本课为外研版教材必修</w:t>
      </w:r>
      <w:r>
        <w:rPr>
          <w:rFonts w:hint="eastAsia" w:ascii="宋体" w:hAnsi="宋体"/>
          <w:sz w:val="24"/>
          <w:szCs w:val="24"/>
          <w:lang w:eastAsia="zh-CN"/>
        </w:rPr>
        <w:t>二</w:t>
      </w:r>
      <w:r>
        <w:rPr>
          <w:rFonts w:hint="eastAsia" w:ascii="宋体" w:hAnsi="宋体"/>
          <w:sz w:val="24"/>
          <w:szCs w:val="24"/>
        </w:rPr>
        <w:t>第</w:t>
      </w:r>
      <w:r>
        <w:rPr>
          <w:rFonts w:hint="eastAsia" w:ascii="宋体" w:hAnsi="宋体"/>
          <w:sz w:val="24"/>
          <w:szCs w:val="24"/>
          <w:lang w:eastAsia="zh-CN"/>
        </w:rPr>
        <w:t>五</w:t>
      </w:r>
      <w:r>
        <w:rPr>
          <w:rFonts w:hint="eastAsia" w:ascii="宋体" w:hAnsi="宋体"/>
          <w:sz w:val="24"/>
          <w:szCs w:val="24"/>
        </w:rPr>
        <w:t>模块的</w:t>
      </w:r>
      <w:r>
        <w:rPr>
          <w:rFonts w:hint="eastAsia" w:ascii="宋体" w:hAnsi="宋体"/>
          <w:sz w:val="24"/>
          <w:szCs w:val="24"/>
          <w:lang w:val="en-US" w:eastAsia="zh-CN"/>
        </w:rPr>
        <w:t>Speaking&amp; Writing</w:t>
      </w:r>
      <w:r>
        <w:rPr>
          <w:rFonts w:hint="eastAsia" w:ascii="宋体" w:hAnsi="宋体"/>
          <w:sz w:val="24"/>
          <w:szCs w:val="24"/>
        </w:rPr>
        <w:t>,</w:t>
      </w:r>
      <w:r>
        <w:rPr>
          <w:rFonts w:hint="eastAsia" w:ascii="宋体" w:hAnsi="宋体"/>
          <w:sz w:val="24"/>
          <w:szCs w:val="24"/>
          <w:lang w:eastAsia="zh-CN"/>
        </w:rPr>
        <w:t>该部分从学生的在学习音乐话题词汇和阅读之后的基础上，针对邮件里如何创办自己的乐队给出建议来写封书信。是对学生的话题词汇的灵活运用的考查。</w:t>
      </w:r>
    </w:p>
    <w:p>
      <w:p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教学说明：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本课为</w:t>
      </w:r>
      <w:r>
        <w:rPr>
          <w:rFonts w:hint="eastAsia" w:ascii="宋体" w:hAnsi="宋体"/>
          <w:sz w:val="24"/>
          <w:szCs w:val="24"/>
          <w:lang w:eastAsia="zh-CN"/>
        </w:rPr>
        <w:t>写作课。教师首先重在培养引导学生审题，讨论邮件的开头、口吻、明确人物关系、写信目的，呈现了写作前的思维逻辑性，让学生自我感悟；之后呈现邮件原文中的结构、好句好词，又让学生仔细体会了好文章的特征，为后面的仿写做好了铺垫；第三步小组讨论，寄出的邮件需要写的要点，以小组为单位每人写</w:t>
      </w:r>
      <w:r>
        <w:rPr>
          <w:rFonts w:hint="eastAsia" w:ascii="宋体" w:hAnsi="宋体"/>
          <w:sz w:val="24"/>
          <w:szCs w:val="24"/>
          <w:lang w:val="en-US" w:eastAsia="zh-CN"/>
        </w:rPr>
        <w:t>1-2句共同完成邮件书写；第四步分享邮件时，更是引导学生学会生生互评的写作评分标准。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品析点：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教师超级淡定，从容不迫，娓娓道来，循序渐进。整个课堂体现了逻辑思维的流程，符合学生的认知规律。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sz w:val="24"/>
          <w:szCs w:val="24"/>
        </w:rPr>
        <w:t>关键词：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Speaking Writing Sharing</w:t>
      </w: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精彩回放：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加分</w:t>
            </w: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减分</w:t>
            </w: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加分或减分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书写及卷面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减分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要点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少一个要点扣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词数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60-100以外扣2分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拼写错误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一处扣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1分，重复不扣分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语法错误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  <w:textDirection w:val="lrTb"/>
            <w:vAlign w:val="top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一处扣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1分，重复不扣分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大小写及标点符号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一处扣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restart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Theme="minorEastAsia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加分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好词、好短语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一处加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好句型、好结构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一处加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句间衔接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一处加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04" w:type="dxa"/>
            <w:vMerge w:val="continue"/>
            <w:tcBorders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段落连贯</w:t>
            </w:r>
          </w:p>
        </w:tc>
        <w:tc>
          <w:tcPr>
            <w:tcW w:w="1704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1705" w:type="dxa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b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eastAsia="zh-CN"/>
              </w:rPr>
              <w:t>一处加</w:t>
            </w:r>
            <w:r>
              <w:rPr>
                <w:rFonts w:hint="eastAsia" w:ascii="宋体" w:hAnsi="宋体"/>
                <w:b/>
                <w:sz w:val="24"/>
                <w:szCs w:val="24"/>
                <w:vertAlign w:val="baseline"/>
                <w:lang w:val="en-US" w:eastAsia="zh-CN"/>
              </w:rPr>
              <w:t>1分</w:t>
            </w:r>
          </w:p>
        </w:tc>
      </w:tr>
    </w:tbl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/>
          <w:sz w:val="24"/>
          <w:szCs w:val="24"/>
        </w:rPr>
      </w:pPr>
    </w:p>
    <w:p>
      <w:pPr>
        <w:adjustRightInd w:val="0"/>
        <w:snapToGrid w:val="0"/>
        <w:spacing w:line="360" w:lineRule="auto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品评赏析：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</w:rPr>
        <w:t>执教教师</w:t>
      </w:r>
      <w:r>
        <w:rPr>
          <w:rFonts w:hint="eastAsia" w:ascii="宋体" w:hAnsi="宋体"/>
          <w:sz w:val="24"/>
          <w:szCs w:val="24"/>
          <w:lang w:eastAsia="zh-CN"/>
        </w:rPr>
        <w:t>综合素质高，上课有亲和力。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整个班级学生学习习惯很好，学生</w:t>
      </w:r>
      <w:r>
        <w:rPr>
          <w:rFonts w:hint="eastAsia" w:ascii="宋体" w:hAnsi="宋体"/>
          <w:sz w:val="24"/>
          <w:szCs w:val="24"/>
          <w:lang w:eastAsia="zh-CN"/>
        </w:rPr>
        <w:t>积极参与</w:t>
      </w:r>
      <w:r>
        <w:rPr>
          <w:rFonts w:hint="eastAsia" w:ascii="宋体" w:hAnsi="宋体"/>
          <w:sz w:val="24"/>
          <w:szCs w:val="24"/>
        </w:rPr>
        <w:t>，课堂倾听习惯</w:t>
      </w:r>
      <w:r>
        <w:rPr>
          <w:rFonts w:hint="eastAsia" w:ascii="宋体" w:hAnsi="宋体"/>
          <w:sz w:val="24"/>
          <w:szCs w:val="24"/>
          <w:lang w:eastAsia="zh-CN"/>
        </w:rPr>
        <w:t>特别</w:t>
      </w:r>
      <w:r>
        <w:rPr>
          <w:rFonts w:hint="eastAsia" w:ascii="宋体" w:hAnsi="宋体"/>
          <w:sz w:val="24"/>
          <w:szCs w:val="24"/>
        </w:rPr>
        <w:t>好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sz w:val="24"/>
          <w:szCs w:val="24"/>
        </w:rPr>
        <w:t>.</w:t>
      </w:r>
      <w:r>
        <w:rPr>
          <w:rFonts w:hint="eastAsia" w:ascii="宋体" w:hAnsi="宋体"/>
          <w:sz w:val="24"/>
          <w:szCs w:val="24"/>
          <w:lang w:eastAsia="zh-CN"/>
        </w:rPr>
        <w:t>整个课堂民主，平等，孩子们愿意和老师亲近，课堂和谐融洽。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</w:t>
      </w:r>
      <w:r>
        <w:rPr>
          <w:rFonts w:hint="eastAsia" w:ascii="宋体" w:hAnsi="宋体"/>
          <w:sz w:val="24"/>
          <w:szCs w:val="24"/>
        </w:rPr>
        <w:t>. 教师</w:t>
      </w:r>
      <w:r>
        <w:rPr>
          <w:rFonts w:hint="eastAsia" w:ascii="宋体" w:hAnsi="宋体"/>
          <w:sz w:val="24"/>
          <w:szCs w:val="24"/>
          <w:lang w:eastAsia="zh-CN"/>
        </w:rPr>
        <w:t>擅长使用</w:t>
      </w:r>
      <w:r>
        <w:rPr>
          <w:rFonts w:hint="eastAsia" w:ascii="宋体" w:hAnsi="宋体"/>
          <w:sz w:val="24"/>
          <w:szCs w:val="24"/>
        </w:rPr>
        <w:t>用鼓励性评价语言，不断给予高一刚刚入校的学生以信心。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. 课堂中互动环节充分，师生互动、生生互动皆渗透其中。</w:t>
      </w:r>
    </w:p>
    <w:p>
      <w:pPr>
        <w:adjustRightInd w:val="0"/>
        <w:snapToGrid w:val="0"/>
        <w:spacing w:line="360" w:lineRule="auto"/>
        <w:rPr>
          <w:rFonts w:hint="eastAsia" w:ascii="宋体" w:hAnsi="宋体" w:eastAsiaTheme="minorEastAsia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6.写作重在培养习惯，为今后写作课做好了铺垫。</w:t>
      </w:r>
    </w:p>
    <w:p>
      <w:pPr>
        <w:adjustRightInd w:val="0"/>
        <w:snapToGrid w:val="0"/>
        <w:spacing w:line="360" w:lineRule="auto"/>
        <w:jc w:val="right"/>
        <w:rPr>
          <w:rFonts w:hint="eastAsia" w:ascii="楷体_GB2312" w:hAnsi="宋体" w:eastAsia="楷体_GB2312"/>
          <w:b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楷体_GB2312" w:hAnsi="宋体" w:eastAsia="楷体_GB2312"/>
          <w:b/>
          <w:sz w:val="24"/>
          <w:szCs w:val="24"/>
          <w:lang w:eastAsia="zh-CN"/>
        </w:rPr>
        <w:t>陈媛</w:t>
      </w:r>
    </w:p>
    <w:p>
      <w:pPr>
        <w:adjustRightInd w:val="0"/>
        <w:snapToGrid w:val="0"/>
        <w:spacing w:line="360" w:lineRule="auto"/>
        <w:jc w:val="right"/>
        <w:rPr>
          <w:rFonts w:hint="eastAsia" w:ascii="楷体_GB2312" w:hAnsi="宋体" w:eastAsia="楷体_GB2312"/>
          <w:b/>
          <w:sz w:val="24"/>
          <w:szCs w:val="24"/>
          <w:lang w:val="en-US" w:eastAsia="zh-CN"/>
        </w:rPr>
      </w:pPr>
      <w:r>
        <w:rPr>
          <w:rFonts w:hint="eastAsia" w:ascii="楷体_GB2312" w:hAnsi="宋体" w:eastAsia="楷体_GB2312"/>
          <w:b/>
          <w:sz w:val="24"/>
          <w:szCs w:val="24"/>
          <w:lang w:val="en-US" w:eastAsia="zh-CN"/>
        </w:rPr>
        <w:t>2017.4.27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Lingoes Unicode">
    <w:altName w:val="hakuyoxingshu7000"/>
    <w:panose1 w:val="00000000000000000000"/>
    <w:charset w:val="86"/>
    <w:family w:val="swiss"/>
    <w:pitch w:val="default"/>
    <w:sig w:usb0="00000000" w:usb1="00000000" w:usb2="00000000" w:usb3="00000000" w:csb0="003E019F" w:csb1="4F03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adjustRightInd w:val="0"/>
      <w:snapToGrid w:val="0"/>
      <w:jc w:val="left"/>
      <w:rPr>
        <w:rFonts w:hint="eastAsia" w:ascii="宋体" w:hAnsi="宋体"/>
        <w:szCs w:val="21"/>
      </w:rPr>
    </w:pPr>
    <w:r>
      <w:rPr>
        <w:rFonts w:hint="eastAsia" w:ascii="宋体" w:hAnsi="宋体"/>
        <w:szCs w:val="21"/>
      </w:rPr>
      <w:t>蒋建平工作室课堂教学切片研究</w:t>
    </w:r>
  </w:p>
  <w:p>
    <w:pPr>
      <w:pStyle w:val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4D9C9"/>
    <w:multiLevelType w:val="singleLevel"/>
    <w:tmpl w:val="57E4D9C9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5236E7"/>
    <w:rsid w:val="383823B2"/>
    <w:rsid w:val="39253B28"/>
    <w:rsid w:val="3C7913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2017-05-12T01:53:04Z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